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3"/>
        <w:tblW w:w="9824" w:type="dxa"/>
        <w:jc w:val="center"/>
        <w:tblLayout w:type="fixed"/>
        <w:tblCellMar>
          <w:top w:w="0" w:type="dxa"/>
          <w:left w:w="108" w:type="dxa"/>
          <w:bottom w:w="0" w:type="dxa"/>
          <w:right w:w="108" w:type="dxa"/>
        </w:tblCellMar>
      </w:tblPr>
      <w:tblGrid>
        <w:gridCol w:w="2201"/>
        <w:gridCol w:w="2371"/>
        <w:gridCol w:w="2156"/>
        <w:gridCol w:w="2480"/>
      </w:tblGrid>
      <w:tr>
        <w:tblPrEx>
          <w:tblCellMar>
            <w:top w:w="0" w:type="dxa"/>
            <w:left w:w="108" w:type="dxa"/>
            <w:bottom w:w="0" w:type="dxa"/>
            <w:right w:w="108" w:type="dxa"/>
          </w:tblCellMar>
        </w:tblPrEx>
        <w:trPr>
          <w:wAfter w:w="616" w:type="dxa"/>
          <w:trHeight w:val="795" w:hRule="atLeast"/>
          <w:jc w:val="center"/>
        </w:trPr>
        <w:tc>
          <w:tcPr>
            <w:tcW w:w="9208" w:type="dxa"/>
            <w:gridSpan w:val="4"/>
            <w:tcBorders>
              <w:top w:val="nil"/>
              <w:left w:val="nil"/>
              <w:bottom w:val="single" w:color="auto" w:sz="4" w:space="0"/>
              <w:right w:val="nil"/>
            </w:tcBorders>
            <w:shd w:val="clear" w:color="auto" w:fill="auto"/>
            <w:noWrap/>
            <w:vAlign w:val="center"/>
          </w:tcPr>
          <w:p>
            <w:pPr>
              <w:widowControl/>
              <w:jc w:val="center"/>
              <w:rPr>
                <w:rFonts w:hint="default" w:ascii="宋体" w:hAnsi="宋体" w:eastAsia="宋体" w:cs="宋体"/>
                <w:b/>
                <w:color w:val="000000"/>
                <w:kern w:val="0"/>
                <w:sz w:val="36"/>
                <w:szCs w:val="36"/>
              </w:rPr>
            </w:pPr>
            <w:r>
              <w:rPr>
                <w:rFonts w:ascii="宋体" w:hAnsi="宋体" w:eastAsia="宋体" w:cs="宋体"/>
                <w:b/>
                <w:color w:val="000000"/>
                <w:kern w:val="0"/>
                <w:sz w:val="36"/>
                <w:szCs w:val="36"/>
              </w:rPr>
              <w:t>企业关键技术问题需求表</w:t>
            </w:r>
          </w:p>
        </w:tc>
      </w:tr>
      <w:tr>
        <w:tblPrEx>
          <w:tblCellMar>
            <w:top w:w="0" w:type="dxa"/>
            <w:left w:w="108" w:type="dxa"/>
            <w:bottom w:w="0" w:type="dxa"/>
            <w:right w:w="108" w:type="dxa"/>
          </w:tblCellMar>
        </w:tblPrEx>
        <w:trPr>
          <w:wAfter w:w="616" w:type="dxa"/>
          <w:trHeight w:val="585" w:hRule="atLeast"/>
          <w:jc w:val="center"/>
        </w:trPr>
        <w:tc>
          <w:tcPr>
            <w:tcW w:w="22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关键技术问题</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需求名称</w:t>
            </w:r>
          </w:p>
        </w:tc>
        <w:tc>
          <w:tcPr>
            <w:tcW w:w="7007"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基于油液磨粒信息的磨损状态检测关键技</w:t>
            </w:r>
            <w:bookmarkStart w:id="0" w:name="_GoBack"/>
            <w:bookmarkEnd w:id="0"/>
            <w:r>
              <w:rPr>
                <w:rFonts w:ascii="宋体" w:hAnsi="宋体" w:eastAsia="宋体" w:cs="宋体"/>
                <w:color w:val="000000"/>
                <w:kern w:val="0"/>
                <w:sz w:val="24"/>
                <w:szCs w:val="24"/>
              </w:rPr>
              <w:t>术攻关</w:t>
            </w:r>
          </w:p>
        </w:tc>
      </w:tr>
      <w:tr>
        <w:tblPrEx>
          <w:tblCellMar>
            <w:top w:w="0" w:type="dxa"/>
            <w:left w:w="108" w:type="dxa"/>
            <w:bottom w:w="0" w:type="dxa"/>
            <w:right w:w="108" w:type="dxa"/>
          </w:tblCellMar>
        </w:tblPrEx>
        <w:trPr>
          <w:wAfter w:w="616" w:type="dxa"/>
          <w:trHeight w:val="510" w:hRule="atLeast"/>
          <w:jc w:val="center"/>
        </w:trPr>
        <w:tc>
          <w:tcPr>
            <w:tcW w:w="22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问题提出单位</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（发榜单位）</w:t>
            </w:r>
          </w:p>
        </w:tc>
        <w:tc>
          <w:tcPr>
            <w:tcW w:w="7007"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沈阳顺义科技有限公司</w:t>
            </w:r>
          </w:p>
        </w:tc>
      </w:tr>
      <w:tr>
        <w:tblPrEx>
          <w:tblCellMar>
            <w:top w:w="0" w:type="dxa"/>
            <w:left w:w="108" w:type="dxa"/>
            <w:bottom w:w="0" w:type="dxa"/>
            <w:right w:w="108" w:type="dxa"/>
          </w:tblCellMar>
        </w:tblPrEx>
        <w:trPr>
          <w:wAfter w:w="616" w:type="dxa"/>
          <w:trHeight w:val="495" w:hRule="atLeast"/>
          <w:jc w:val="center"/>
        </w:trPr>
        <w:tc>
          <w:tcPr>
            <w:tcW w:w="22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单位性质</w:t>
            </w:r>
          </w:p>
        </w:tc>
        <w:tc>
          <w:tcPr>
            <w:tcW w:w="7007"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私营企业</w:t>
            </w:r>
          </w:p>
        </w:tc>
      </w:tr>
      <w:tr>
        <w:tblPrEx>
          <w:tblCellMar>
            <w:top w:w="0" w:type="dxa"/>
            <w:left w:w="108" w:type="dxa"/>
            <w:bottom w:w="0" w:type="dxa"/>
            <w:right w:w="108" w:type="dxa"/>
          </w:tblCellMar>
        </w:tblPrEx>
        <w:trPr>
          <w:wAfter w:w="616" w:type="dxa"/>
          <w:trHeight w:val="495" w:hRule="atLeast"/>
          <w:jc w:val="center"/>
        </w:trPr>
        <w:tc>
          <w:tcPr>
            <w:tcW w:w="22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项目负责人</w:t>
            </w:r>
          </w:p>
        </w:tc>
        <w:tc>
          <w:tcPr>
            <w:tcW w:w="2371"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李英顺</w:t>
            </w:r>
          </w:p>
        </w:tc>
        <w:tc>
          <w:tcPr>
            <w:tcW w:w="21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联系电话</w:t>
            </w:r>
          </w:p>
        </w:tc>
        <w:tc>
          <w:tcPr>
            <w:tcW w:w="248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18640125936</w:t>
            </w:r>
          </w:p>
        </w:tc>
      </w:tr>
      <w:tr>
        <w:tblPrEx>
          <w:tblCellMar>
            <w:top w:w="0" w:type="dxa"/>
            <w:left w:w="108" w:type="dxa"/>
            <w:bottom w:w="0" w:type="dxa"/>
            <w:right w:w="108" w:type="dxa"/>
          </w:tblCellMar>
        </w:tblPrEx>
        <w:trPr>
          <w:wAfter w:w="616" w:type="dxa"/>
          <w:trHeight w:val="495" w:hRule="atLeast"/>
          <w:jc w:val="center"/>
        </w:trPr>
        <w:tc>
          <w:tcPr>
            <w:tcW w:w="22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联系人</w:t>
            </w:r>
          </w:p>
        </w:tc>
        <w:tc>
          <w:tcPr>
            <w:tcW w:w="2371"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赵玉鑫</w:t>
            </w:r>
          </w:p>
        </w:tc>
        <w:tc>
          <w:tcPr>
            <w:tcW w:w="21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联系电话</w:t>
            </w:r>
          </w:p>
        </w:tc>
        <w:tc>
          <w:tcPr>
            <w:tcW w:w="248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15174190736</w:t>
            </w:r>
          </w:p>
        </w:tc>
      </w:tr>
      <w:tr>
        <w:tblPrEx>
          <w:tblCellMar>
            <w:top w:w="0" w:type="dxa"/>
            <w:left w:w="108" w:type="dxa"/>
            <w:bottom w:w="0" w:type="dxa"/>
            <w:right w:w="108" w:type="dxa"/>
          </w:tblCellMar>
        </w:tblPrEx>
        <w:trPr>
          <w:wAfter w:w="616" w:type="dxa"/>
          <w:trHeight w:val="495" w:hRule="atLeast"/>
          <w:jc w:val="center"/>
        </w:trPr>
        <w:tc>
          <w:tcPr>
            <w:tcW w:w="22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技术问题所属领域</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（一级领域）</w:t>
            </w:r>
          </w:p>
        </w:tc>
        <w:tc>
          <w:tcPr>
            <w:tcW w:w="2371" w:type="dxa"/>
            <w:tcBorders>
              <w:top w:val="single" w:color="auto" w:sz="4" w:space="0"/>
              <w:left w:val="nil"/>
              <w:bottom w:val="single" w:color="auto" w:sz="4" w:space="0"/>
              <w:right w:val="single" w:color="auto" w:sz="4" w:space="0"/>
            </w:tcBorders>
            <w:shd w:val="clear" w:color="auto" w:fill="auto"/>
            <w:noWrap/>
            <w:vAlign w:val="center"/>
          </w:tcPr>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工业领域</w:t>
            </w:r>
          </w:p>
        </w:tc>
        <w:tc>
          <w:tcPr>
            <w:tcW w:w="21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技术问题所属领域</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（二级领域）</w:t>
            </w:r>
          </w:p>
        </w:tc>
        <w:tc>
          <w:tcPr>
            <w:tcW w:w="2480" w:type="dxa"/>
            <w:tcBorders>
              <w:top w:val="single" w:color="auto" w:sz="4" w:space="0"/>
              <w:left w:val="nil"/>
              <w:bottom w:val="single" w:color="auto" w:sz="4" w:space="0"/>
              <w:right w:val="single" w:color="auto" w:sz="4" w:space="0"/>
            </w:tcBorders>
            <w:shd w:val="clear" w:color="auto" w:fill="auto"/>
            <w:vAlign w:val="center"/>
          </w:tcPr>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人工智能</w:t>
            </w:r>
          </w:p>
        </w:tc>
      </w:tr>
      <w:tr>
        <w:tblPrEx>
          <w:tblCellMar>
            <w:top w:w="0" w:type="dxa"/>
            <w:left w:w="108" w:type="dxa"/>
            <w:bottom w:w="0" w:type="dxa"/>
            <w:right w:w="108" w:type="dxa"/>
          </w:tblCellMar>
        </w:tblPrEx>
        <w:trPr>
          <w:wAfter w:w="616" w:type="dxa"/>
          <w:trHeight w:val="2405" w:hRule="atLeast"/>
          <w:jc w:val="center"/>
        </w:trPr>
        <w:tc>
          <w:tcPr>
            <w:tcW w:w="22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问题提出单位概况</w:t>
            </w:r>
          </w:p>
        </w:tc>
        <w:tc>
          <w:tcPr>
            <w:tcW w:w="700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公司成立于2012年，是一家专注从事智能传感器、智能装备等复杂电子行业智能控制系统研发高新技术瞪羚企业。公司自主研制的智能温度传感器、振动传感器、压力传感器已应用在航空、航天、军工、石化、矿山等领域。目前员工126人，拥有一支学识水平高业务能力强研发队伍，技术研发人员65人。先后获得专利50余项，对研发成果具有完全的自主知识产权。2021年销售收入1.5亿元，研发支出超过3000余万元。</w:t>
            </w:r>
          </w:p>
        </w:tc>
      </w:tr>
      <w:tr>
        <w:tblPrEx>
          <w:tblCellMar>
            <w:top w:w="0" w:type="dxa"/>
            <w:left w:w="108" w:type="dxa"/>
            <w:bottom w:w="0" w:type="dxa"/>
            <w:right w:w="108" w:type="dxa"/>
          </w:tblCellMar>
        </w:tblPrEx>
        <w:trPr>
          <w:wAfter w:w="616" w:type="dxa"/>
          <w:trHeight w:val="2434" w:hRule="atLeast"/>
          <w:jc w:val="center"/>
        </w:trPr>
        <w:tc>
          <w:tcPr>
            <w:tcW w:w="22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关键技术问题</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需求内容</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（揭榜任务）</w:t>
            </w:r>
          </w:p>
        </w:tc>
        <w:tc>
          <w:tcPr>
            <w:tcW w:w="7007" w:type="dxa"/>
            <w:gridSpan w:val="3"/>
            <w:tcBorders>
              <w:top w:val="single" w:color="auto" w:sz="4" w:space="0"/>
              <w:left w:val="nil"/>
              <w:bottom w:val="single" w:color="auto" w:sz="4" w:space="0"/>
              <w:right w:val="single" w:color="auto" w:sz="4" w:space="0"/>
            </w:tcBorders>
            <w:shd w:val="clear" w:color="auto" w:fill="auto"/>
            <w:noWrap/>
          </w:tcPr>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围绕航空、航天、船舶、核电、风电、水电、矿山机械等领域，对于润滑油中铁磁性磨粒进行有序沉积和分析，监测装备的运行状态与磨损趋势，判断磨损机理，实现装备早期故障预防，减小故障损失性能监测需求越来越强烈，开展针对上述领域动力系统、液压系统等复杂装备基于油液磨粒信息的磨损状态检测关键技术攻关，其能够实时有效地扑捉装备磨损信息，自动形成检测报告，分析判断装备的工作状态，并对装备的使用管理提出建议。</w:t>
            </w:r>
          </w:p>
        </w:tc>
      </w:tr>
      <w:tr>
        <w:tblPrEx>
          <w:tblCellMar>
            <w:top w:w="0" w:type="dxa"/>
            <w:left w:w="108" w:type="dxa"/>
            <w:bottom w:w="0" w:type="dxa"/>
            <w:right w:w="108" w:type="dxa"/>
          </w:tblCellMar>
        </w:tblPrEx>
        <w:trPr>
          <w:wAfter w:w="616" w:type="dxa"/>
          <w:trHeight w:val="2943" w:hRule="atLeast"/>
          <w:jc w:val="center"/>
        </w:trPr>
        <w:tc>
          <w:tcPr>
            <w:tcW w:w="22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考核指标</w:t>
            </w:r>
          </w:p>
        </w:tc>
        <w:tc>
          <w:tcPr>
            <w:tcW w:w="7007" w:type="dxa"/>
            <w:gridSpan w:val="3"/>
            <w:tcBorders>
              <w:top w:val="single" w:color="auto" w:sz="4" w:space="0"/>
              <w:left w:val="nil"/>
              <w:bottom w:val="single" w:color="auto" w:sz="4" w:space="0"/>
              <w:right w:val="single" w:color="auto" w:sz="4" w:space="0"/>
            </w:tcBorders>
            <w:shd w:val="clear" w:color="auto" w:fill="auto"/>
            <w:noWrap/>
          </w:tcPr>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（1）检测能力：能检测:装备推进系统磨损状态；能检测磨损颗粒含量、梯度，可对磨粒数量、尺寸和形貌进行分析。</w:t>
            </w:r>
          </w:p>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（2）清洗能力：能对仪器自身油路进行清洗。</w:t>
            </w:r>
          </w:p>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（3）自检能力：具备仪器自检功能。</w:t>
            </w:r>
          </w:p>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（4）磨粒成像尺寸：5～500μm。</w:t>
            </w:r>
          </w:p>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（5）磨粒浓度范围：0～1000ppm。</w:t>
            </w:r>
          </w:p>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（6）磨粒谱片：磨粒谱片分辨率：1440×1080像素，有比例尺。</w:t>
            </w:r>
          </w:p>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（7）磨粒分析：铁磁性磨粒含量及梯度值、大磨粒尺寸数量分布。</w:t>
            </w:r>
          </w:p>
          <w:p>
            <w:pPr>
              <w:rPr>
                <w:rFonts w:hint="default"/>
              </w:rPr>
            </w:pPr>
            <w:r>
              <w:rPr>
                <w:rFonts w:ascii="宋体" w:hAnsi="宋体" w:eastAsia="宋体" w:cs="宋体"/>
                <w:color w:val="000000"/>
                <w:kern w:val="0"/>
                <w:sz w:val="24"/>
                <w:szCs w:val="24"/>
              </w:rPr>
              <w:t>（8）单项检测时间：≤5min。</w:t>
            </w:r>
          </w:p>
        </w:tc>
      </w:tr>
      <w:tr>
        <w:tblPrEx>
          <w:tblCellMar>
            <w:top w:w="0" w:type="dxa"/>
            <w:left w:w="108" w:type="dxa"/>
            <w:bottom w:w="0" w:type="dxa"/>
            <w:right w:w="108" w:type="dxa"/>
          </w:tblCellMar>
        </w:tblPrEx>
        <w:trPr>
          <w:wAfter w:w="616" w:type="dxa"/>
          <w:trHeight w:val="1572" w:hRule="atLeast"/>
          <w:jc w:val="center"/>
        </w:trPr>
        <w:tc>
          <w:tcPr>
            <w:tcW w:w="22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攻关完成时限</w:t>
            </w:r>
          </w:p>
        </w:tc>
        <w:tc>
          <w:tcPr>
            <w:tcW w:w="7007" w:type="dxa"/>
            <w:gridSpan w:val="3"/>
            <w:tcBorders>
              <w:top w:val="single" w:color="auto" w:sz="4" w:space="0"/>
              <w:left w:val="nil"/>
              <w:bottom w:val="single" w:color="auto" w:sz="4" w:space="0"/>
              <w:right w:val="single" w:color="auto" w:sz="4" w:space="0"/>
            </w:tcBorders>
            <w:shd w:val="clear" w:color="auto" w:fill="auto"/>
            <w:noWrap/>
            <w:vAlign w:val="center"/>
          </w:tcPr>
          <w:p>
            <w:pPr>
              <w:widowControl/>
              <w:rPr>
                <w:rFonts w:hint="default" w:ascii="宋体" w:hAnsi="宋体" w:eastAsia="宋体" w:cs="宋体"/>
                <w:color w:val="000000"/>
                <w:kern w:val="0"/>
                <w:sz w:val="24"/>
                <w:szCs w:val="24"/>
              </w:rPr>
            </w:pPr>
            <w:r>
              <w:rPr>
                <w:rFonts w:ascii="宋体" w:hAnsi="宋体" w:eastAsia="宋体" w:cs="宋体"/>
                <w:color w:val="000000"/>
                <w:kern w:val="0"/>
                <w:sz w:val="24"/>
                <w:szCs w:val="24"/>
              </w:rPr>
              <w:t>2023-12</w:t>
            </w:r>
          </w:p>
        </w:tc>
      </w:tr>
    </w:tbl>
    <w:p>
      <w:pPr>
        <w:pStyle w:val="2"/>
        <w:rPr>
          <w:rFonts w:hint="default"/>
        </w:rPr>
      </w:pPr>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yNjRiOGVjNGQ4OGM0YzEzYzQ1MWZkNTM4MWNiNmEifQ=="/>
  </w:docVars>
  <w:rsids>
    <w:rsidRoot w:val="006554ED"/>
    <w:rsid w:val="0047521C"/>
    <w:rsid w:val="00534433"/>
    <w:rsid w:val="006554ED"/>
    <w:rsid w:val="00BC532E"/>
    <w:rsid w:val="00CC63B4"/>
    <w:rsid w:val="01A54B94"/>
    <w:rsid w:val="042310BA"/>
    <w:rsid w:val="1F963514"/>
    <w:rsid w:val="35E055E6"/>
    <w:rsid w:val="5AB346C0"/>
    <w:rsid w:val="7F800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等线" w:hAnsi="等线" w:eastAsia="等线" w:cs="Times New Roman"/>
      <w:kern w:val="2"/>
      <w:sz w:val="21"/>
      <w:szCs w:val="22"/>
      <w:lang w:val="en-US" w:eastAsia="zh-CN" w:bidi="ar-SA"/>
    </w:rPr>
  </w:style>
  <w:style w:type="paragraph" w:styleId="3">
    <w:name w:val="heading 1"/>
    <w:basedOn w:val="1"/>
    <w:next w:val="1"/>
    <w:qFormat/>
    <w:uiPriority w:val="9"/>
    <w:pPr>
      <w:widowControl/>
      <w:spacing w:beforeAutospacing="1" w:afterAutospacing="1"/>
      <w:jc w:val="left"/>
      <w:outlineLvl w:val="0"/>
    </w:pPr>
    <w:rPr>
      <w:rFonts w:ascii="宋体" w:hAnsi="宋体" w:eastAsia="宋体"/>
      <w:b/>
      <w:bCs/>
      <w:kern w:val="44"/>
      <w:sz w:val="48"/>
      <w:szCs w:val="48"/>
    </w:rPr>
  </w:style>
  <w:style w:type="paragraph" w:styleId="4">
    <w:name w:val="heading 2"/>
    <w:basedOn w:val="1"/>
    <w:next w:val="1"/>
    <w:semiHidden/>
    <w:unhideWhenUsed/>
    <w:qFormat/>
    <w:uiPriority w:val="9"/>
    <w:pPr>
      <w:widowControl/>
      <w:spacing w:beforeAutospacing="1" w:afterAutospacing="1"/>
      <w:jc w:val="left"/>
      <w:outlineLvl w:val="1"/>
    </w:pPr>
    <w:rPr>
      <w:rFonts w:ascii="宋体" w:hAnsi="宋体" w:eastAsia="宋体"/>
      <w:b/>
      <w:bCs/>
      <w:kern w:val="0"/>
      <w:sz w:val="36"/>
      <w:szCs w:val="36"/>
    </w:rPr>
  </w:style>
  <w:style w:type="paragraph" w:styleId="5">
    <w:name w:val="heading 3"/>
    <w:basedOn w:val="1"/>
    <w:next w:val="1"/>
    <w:semiHidden/>
    <w:unhideWhenUsed/>
    <w:qFormat/>
    <w:uiPriority w:val="9"/>
    <w:pPr>
      <w:widowControl/>
      <w:spacing w:beforeAutospacing="1" w:afterAutospacing="1"/>
      <w:jc w:val="left"/>
      <w:outlineLvl w:val="2"/>
    </w:pPr>
    <w:rPr>
      <w:rFonts w:ascii="宋体" w:hAnsi="宋体" w:eastAsia="宋体"/>
      <w:b/>
      <w:bCs/>
      <w:kern w:val="0"/>
      <w:sz w:val="27"/>
      <w:szCs w:val="27"/>
    </w:rPr>
  </w:style>
  <w:style w:type="paragraph" w:styleId="6">
    <w:name w:val="heading 4"/>
    <w:basedOn w:val="1"/>
    <w:next w:val="1"/>
    <w:semiHidden/>
    <w:unhideWhenUsed/>
    <w:qFormat/>
    <w:uiPriority w:val="9"/>
    <w:pPr>
      <w:widowControl/>
      <w:spacing w:beforeAutospacing="1" w:afterAutospacing="1"/>
      <w:jc w:val="left"/>
      <w:outlineLvl w:val="3"/>
    </w:pPr>
    <w:rPr>
      <w:rFonts w:ascii="宋体" w:hAnsi="宋体" w:eastAsia="宋体"/>
      <w:b/>
      <w:bCs/>
      <w:kern w:val="0"/>
      <w:sz w:val="24"/>
      <w:szCs w:val="24"/>
    </w:rPr>
  </w:style>
  <w:style w:type="paragraph" w:styleId="7">
    <w:name w:val="heading 5"/>
    <w:basedOn w:val="1"/>
    <w:next w:val="1"/>
    <w:semiHidden/>
    <w:unhideWhenUsed/>
    <w:qFormat/>
    <w:uiPriority w:val="9"/>
    <w:pPr>
      <w:widowControl/>
      <w:spacing w:beforeAutospacing="1" w:afterAutospacing="1"/>
      <w:jc w:val="left"/>
      <w:outlineLvl w:val="4"/>
    </w:pPr>
    <w:rPr>
      <w:rFonts w:ascii="宋体" w:hAnsi="宋体" w:eastAsia="宋体"/>
      <w:b/>
      <w:bCs/>
      <w:kern w:val="0"/>
      <w:sz w:val="20"/>
      <w:szCs w:val="20"/>
    </w:rPr>
  </w:style>
  <w:style w:type="paragraph" w:styleId="8">
    <w:name w:val="heading 6"/>
    <w:basedOn w:val="1"/>
    <w:next w:val="1"/>
    <w:semiHidden/>
    <w:unhideWhenUsed/>
    <w:qFormat/>
    <w:uiPriority w:val="9"/>
    <w:pPr>
      <w:widowControl/>
      <w:spacing w:beforeAutospacing="1" w:afterAutospacing="1"/>
      <w:jc w:val="left"/>
      <w:outlineLvl w:val="5"/>
    </w:pPr>
    <w:rPr>
      <w:rFonts w:ascii="宋体" w:hAnsi="宋体" w:eastAsia="宋体"/>
      <w:b/>
      <w:bCs/>
      <w:kern w:val="0"/>
      <w:sz w:val="15"/>
      <w:szCs w:val="15"/>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w:basedOn w:val="1"/>
    <w:semiHidden/>
    <w:unhideWhenUsed/>
    <w:qFormat/>
    <w:uiPriority w:val="0"/>
    <w:pPr>
      <w:spacing w:after="120"/>
    </w:pPr>
  </w:style>
  <w:style w:type="paragraph" w:styleId="9">
    <w:name w:val="footer"/>
    <w:basedOn w:val="1"/>
    <w:link w:val="15"/>
    <w:unhideWhenUsed/>
    <w:qFormat/>
    <w:uiPriority w:val="0"/>
    <w:pPr>
      <w:tabs>
        <w:tab w:val="center" w:pos="4153"/>
        <w:tab w:val="right" w:pos="8306"/>
      </w:tabs>
      <w:snapToGrid w:val="0"/>
      <w:jc w:val="left"/>
    </w:pPr>
    <w:rPr>
      <w:sz w:val="18"/>
      <w:szCs w:val="18"/>
    </w:rPr>
  </w:style>
  <w:style w:type="paragraph" w:styleId="10">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4"/>
    </w:rPr>
  </w:style>
  <w:style w:type="paragraph" w:styleId="12">
    <w:name w:val="Normal (Web)"/>
    <w:basedOn w:val="1"/>
    <w:semiHidden/>
    <w:unhideWhenUsed/>
    <w:qFormat/>
    <w:uiPriority w:val="0"/>
    <w:pPr>
      <w:widowControl/>
      <w:spacing w:beforeAutospacing="1" w:afterAutospacing="1"/>
      <w:jc w:val="left"/>
    </w:pPr>
    <w:rPr>
      <w:rFonts w:hint="default"/>
      <w:kern w:val="0"/>
      <w:sz w:val="24"/>
      <w:szCs w:val="24"/>
    </w:rPr>
  </w:style>
  <w:style w:type="character" w:customStyle="1" w:styleId="15">
    <w:name w:val="页脚 字符"/>
    <w:basedOn w:val="14"/>
    <w:link w:val="9"/>
    <w:qFormat/>
    <w:locked/>
    <w:uiPriority w:val="0"/>
    <w:rPr>
      <w:sz w:val="18"/>
      <w:szCs w:val="18"/>
    </w:rPr>
  </w:style>
  <w:style w:type="paragraph" w:customStyle="1" w:styleId="16">
    <w:name w:val="msonormal1"/>
    <w:basedOn w:val="1"/>
    <w:qFormat/>
    <w:uiPriority w:val="0"/>
    <w:pPr>
      <w:widowControl/>
      <w:spacing w:beforeAutospacing="1" w:afterAutospacing="1"/>
      <w:jc w:val="left"/>
    </w:pPr>
    <w:rPr>
      <w:rFonts w:ascii="宋体" w:hAnsi="宋体" w:eastAsia="宋体"/>
      <w:kern w:val="0"/>
      <w:sz w:val="24"/>
      <w:szCs w:val="24"/>
    </w:rPr>
  </w:style>
  <w:style w:type="character" w:customStyle="1" w:styleId="17">
    <w:name w:val="页眉 字符"/>
    <w:basedOn w:val="14"/>
    <w:link w:val="10"/>
    <w:qFormat/>
    <w:locked/>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377</Words>
  <Characters>2154</Characters>
  <Lines>17</Lines>
  <Paragraphs>5</Paragraphs>
  <TotalTime>2</TotalTime>
  <ScaleCrop>false</ScaleCrop>
  <LinksUpToDate>false</LinksUpToDate>
  <CharactersWithSpaces>2526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2023-01-28T05:32:00Z</dcterms:created>
  <dc:creator>shunyi</dc:creator>
  <cp:lastModifiedBy>李小样</cp:lastModifiedBy>
  <dcterms:modified xsi:type="dcterms:W3CDTF">2023-01-28T05:48:48Z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1919175591FC4025AA22FA709D672B47</vt:lpwstr>
  </property>
</Properties>
</file>